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9" w:rsidRDefault="00EE1C10">
      <w:pPr>
        <w:pStyle w:val="20"/>
        <w:framePr w:w="10238" w:h="719" w:hRule="exact" w:wrap="none" w:vAnchor="page" w:hAnchor="page" w:x="1114" w:y="768"/>
        <w:shd w:val="clear" w:color="auto" w:fill="auto"/>
        <w:ind w:left="3500" w:right="3480"/>
      </w:pPr>
      <w:r>
        <w:t>РОСТОВСКАЯ ОБЛАСТЬ МИЛЮТИНСКИЙ РАЙОН</w:t>
      </w:r>
    </w:p>
    <w:p w:rsidR="009044E9" w:rsidRDefault="00EE1C10">
      <w:pPr>
        <w:pStyle w:val="20"/>
        <w:framePr w:w="10238" w:h="354" w:hRule="exact" w:wrap="none" w:vAnchor="page" w:hAnchor="page" w:x="1114" w:y="1457"/>
        <w:shd w:val="clear" w:color="auto" w:fill="auto"/>
        <w:spacing w:line="280" w:lineRule="exact"/>
        <w:ind w:right="20"/>
        <w:jc w:val="center"/>
      </w:pPr>
      <w:r>
        <w:t>Собрание депутатов Милютинского сельского поселения</w:t>
      </w:r>
    </w:p>
    <w:p w:rsidR="009044E9" w:rsidRDefault="00EE1C10">
      <w:pPr>
        <w:pStyle w:val="20"/>
        <w:framePr w:wrap="none" w:vAnchor="page" w:hAnchor="page" w:x="1114" w:y="2119"/>
        <w:shd w:val="clear" w:color="auto" w:fill="auto"/>
        <w:spacing w:line="280" w:lineRule="exact"/>
        <w:ind w:left="4100"/>
      </w:pPr>
      <w:r>
        <w:t>РЕШЕНИЕ</w:t>
      </w:r>
    </w:p>
    <w:p w:rsidR="009044E9" w:rsidRDefault="00EE1C10">
      <w:pPr>
        <w:pStyle w:val="20"/>
        <w:framePr w:wrap="none" w:vAnchor="page" w:hAnchor="page" w:x="1134" w:y="2753"/>
        <w:shd w:val="clear" w:color="auto" w:fill="auto"/>
        <w:spacing w:line="280" w:lineRule="exact"/>
      </w:pPr>
      <w:r>
        <w:t>03.02.2022</w:t>
      </w:r>
    </w:p>
    <w:p w:rsidR="009044E9" w:rsidRDefault="00EE1C10">
      <w:pPr>
        <w:pStyle w:val="20"/>
        <w:framePr w:wrap="none" w:vAnchor="page" w:hAnchor="page" w:x="5454" w:y="2758"/>
        <w:shd w:val="clear" w:color="auto" w:fill="auto"/>
        <w:spacing w:line="280" w:lineRule="exact"/>
      </w:pPr>
      <w:r>
        <w:t>№ 19</w:t>
      </w:r>
    </w:p>
    <w:p w:rsidR="009044E9" w:rsidRDefault="00EE1C10">
      <w:pPr>
        <w:pStyle w:val="20"/>
        <w:framePr w:wrap="none" w:vAnchor="page" w:hAnchor="page" w:x="8175" w:y="2748"/>
        <w:shd w:val="clear" w:color="auto" w:fill="auto"/>
        <w:spacing w:line="280" w:lineRule="exact"/>
      </w:pPr>
      <w:r>
        <w:t>ст. Милютинская</w:t>
      </w:r>
    </w:p>
    <w:p w:rsidR="009044E9" w:rsidRDefault="00EE1C10">
      <w:pPr>
        <w:pStyle w:val="20"/>
        <w:framePr w:w="10238" w:h="4856" w:hRule="exact" w:wrap="none" w:vAnchor="page" w:hAnchor="page" w:x="1114" w:y="3362"/>
        <w:shd w:val="clear" w:color="auto" w:fill="auto"/>
        <w:spacing w:after="300" w:line="317" w:lineRule="exact"/>
        <w:ind w:right="2680"/>
      </w:pPr>
      <w:r>
        <w:t>Об оплате труда работников, осуществляющих техническое обеспечение деятельности органов местного самоуправления Милютинского сельского поселения и обслуживающего персонала органов местного самоуправления Милютинского сельского поселения</w:t>
      </w:r>
    </w:p>
    <w:p w:rsidR="009044E9" w:rsidRDefault="00EE1C10">
      <w:pPr>
        <w:pStyle w:val="20"/>
        <w:framePr w:w="10238" w:h="4856" w:hRule="exact" w:wrap="none" w:vAnchor="page" w:hAnchor="page" w:x="1114" w:y="3362"/>
        <w:shd w:val="clear" w:color="auto" w:fill="auto"/>
        <w:spacing w:line="317" w:lineRule="exact"/>
        <w:ind w:firstLine="620"/>
        <w:jc w:val="both"/>
      </w:pPr>
      <w:proofErr w:type="gramStart"/>
      <w:r>
        <w:t>Руководствуясь Областным законом от 03.10.2008 № 92-ЗС "Об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области", в целях приведения в соответствие системы оплаты труда работников, осуществляющих техническое обеспечение деятельности органов местного самоуправления Милютинского сельского поселения, и обслуживающего персонала органов местного самоуправления Милютинского</w:t>
      </w:r>
      <w:proofErr w:type="gramEnd"/>
      <w:r>
        <w:t xml:space="preserve"> сельского поселения, в соответствии с действующим законодательством, Собрание депутатов Милютинского сельского поселения</w:t>
      </w:r>
    </w:p>
    <w:p w:rsidR="009044E9" w:rsidRDefault="00EE1C10">
      <w:pPr>
        <w:pStyle w:val="20"/>
        <w:framePr w:w="10238" w:h="2941" w:hRule="exact" w:wrap="none" w:vAnchor="page" w:hAnchor="page" w:x="1114" w:y="9122"/>
        <w:numPr>
          <w:ilvl w:val="0"/>
          <w:numId w:val="1"/>
        </w:numPr>
        <w:shd w:val="clear" w:color="auto" w:fill="auto"/>
        <w:tabs>
          <w:tab w:val="left" w:pos="1001"/>
        </w:tabs>
        <w:spacing w:line="317" w:lineRule="exact"/>
        <w:ind w:firstLine="620"/>
        <w:jc w:val="both"/>
      </w:pPr>
      <w:r>
        <w:t>Утвердить Положение об оплате труда работников, осуществляющих техническое обеспечение деятельности органов местного самоуправления Милютинского сельского поселения, и обслуживающего персонала органов местного самоуправления Милютинского сельского поселения (приложение 1);</w:t>
      </w:r>
    </w:p>
    <w:p w:rsidR="009044E9" w:rsidRDefault="00EE1C10">
      <w:pPr>
        <w:pStyle w:val="20"/>
        <w:framePr w:w="10238" w:h="2941" w:hRule="exact" w:wrap="none" w:vAnchor="page" w:hAnchor="page" w:x="1114" w:y="9122"/>
        <w:numPr>
          <w:ilvl w:val="0"/>
          <w:numId w:val="1"/>
        </w:numPr>
        <w:shd w:val="clear" w:color="auto" w:fill="auto"/>
        <w:tabs>
          <w:tab w:val="left" w:pos="889"/>
        </w:tabs>
        <w:spacing w:line="317" w:lineRule="exact"/>
        <w:ind w:firstLine="620"/>
        <w:jc w:val="both"/>
      </w:pPr>
      <w:r>
        <w:t>Признать утратившим силу Решение Собрания депутатов Милютинского сельского поселения от 30.12.2014 г. № 84 «Об оплате труда работников, осуществляющих техническое обеспечение деятельности органов местного самоуправления Милютинского сельского поселения, и обслуживающего персонала органов местного самоуправления Милютинского сельского поселения»</w:t>
      </w:r>
    </w:p>
    <w:p w:rsidR="009044E9" w:rsidRDefault="00EE1C10" w:rsidP="00C07D91">
      <w:pPr>
        <w:pStyle w:val="20"/>
        <w:framePr w:w="10238" w:h="681" w:hRule="exact" w:wrap="none" w:vAnchor="page" w:hAnchor="page" w:x="1114" w:y="12015"/>
        <w:numPr>
          <w:ilvl w:val="0"/>
          <w:numId w:val="1"/>
        </w:numPr>
        <w:shd w:val="clear" w:color="auto" w:fill="auto"/>
        <w:tabs>
          <w:tab w:val="left" w:pos="1038"/>
        </w:tabs>
        <w:spacing w:line="312" w:lineRule="exact"/>
        <w:ind w:firstLine="740"/>
        <w:jc w:val="both"/>
      </w:pPr>
      <w:r>
        <w:t>Настоящее решени</w:t>
      </w:r>
      <w:bookmarkStart w:id="0" w:name="_GoBack"/>
      <w:bookmarkEnd w:id="0"/>
      <w:r>
        <w:t xml:space="preserve">е применяется к правоотношениям, </w:t>
      </w:r>
      <w:proofErr w:type="gramStart"/>
      <w:r>
        <w:t>возникших</w:t>
      </w:r>
      <w:proofErr w:type="gramEnd"/>
      <w:r>
        <w:t xml:space="preserve"> с 1 </w:t>
      </w:r>
      <w:r w:rsidR="000463E6">
        <w:t>октября</w:t>
      </w:r>
      <w:r>
        <w:t xml:space="preserve"> 202</w:t>
      </w:r>
      <w:r w:rsidR="00C07D91">
        <w:t>1</w:t>
      </w:r>
      <w:r>
        <w:t xml:space="preserve"> года.</w:t>
      </w:r>
    </w:p>
    <w:p w:rsidR="009044E9" w:rsidRDefault="00EE1C10">
      <w:pPr>
        <w:pStyle w:val="20"/>
        <w:framePr w:wrap="none" w:vAnchor="page" w:hAnchor="page" w:x="1114" w:y="8523"/>
        <w:shd w:val="clear" w:color="auto" w:fill="auto"/>
        <w:spacing w:line="280" w:lineRule="exact"/>
        <w:ind w:left="4760"/>
      </w:pPr>
      <w:r>
        <w:t>РЕШИЛО:</w:t>
      </w:r>
    </w:p>
    <w:p w:rsidR="009044E9" w:rsidRDefault="00EE1C10">
      <w:pPr>
        <w:pStyle w:val="20"/>
        <w:framePr w:w="10238" w:h="690" w:hRule="exact" w:wrap="none" w:vAnchor="page" w:hAnchor="page" w:x="1114" w:y="13601"/>
        <w:shd w:val="clear" w:color="auto" w:fill="auto"/>
        <w:spacing w:line="317" w:lineRule="exact"/>
        <w:ind w:left="400"/>
      </w:pPr>
      <w:r>
        <w:t>Председатель собрания депутатов -</w:t>
      </w:r>
      <w:r>
        <w:br/>
        <w:t>глава Милютинского сельского поселе</w:t>
      </w:r>
      <w:r w:rsidR="00C8606F">
        <w:t>ния</w:t>
      </w:r>
    </w:p>
    <w:p w:rsidR="009044E9" w:rsidRDefault="00EE1C10">
      <w:pPr>
        <w:pStyle w:val="a5"/>
        <w:framePr w:wrap="none" w:vAnchor="page" w:hAnchor="page" w:x="9390" w:y="13946"/>
        <w:shd w:val="clear" w:color="auto" w:fill="auto"/>
        <w:spacing w:line="280" w:lineRule="exact"/>
      </w:pPr>
      <w:r>
        <w:t>А.В. Лукашов</w:t>
      </w:r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30"/>
        <w:framePr w:w="10267" w:h="1247" w:hRule="exact" w:wrap="none" w:vAnchor="page" w:hAnchor="page" w:x="1100" w:y="1327"/>
        <w:shd w:val="clear" w:color="auto" w:fill="auto"/>
        <w:spacing w:after="103"/>
        <w:ind w:left="6520"/>
      </w:pPr>
      <w:r>
        <w:lastRenderedPageBreak/>
        <w:t>Приложение 1 к решению Собрания депутатов Милютинского сельского поселения</w:t>
      </w:r>
    </w:p>
    <w:p w:rsidR="009044E9" w:rsidRDefault="00EE1C10">
      <w:pPr>
        <w:pStyle w:val="30"/>
        <w:framePr w:w="10267" w:h="1247" w:hRule="exact" w:wrap="none" w:vAnchor="page" w:hAnchor="page" w:x="1100" w:y="1327"/>
        <w:shd w:val="clear" w:color="auto" w:fill="auto"/>
        <w:spacing w:after="0" w:line="220" w:lineRule="exact"/>
      </w:pPr>
      <w:r>
        <w:t>от 03.02.2022 г. № 19</w:t>
      </w:r>
    </w:p>
    <w:p w:rsidR="009044E9" w:rsidRDefault="00EE1C10">
      <w:pPr>
        <w:pStyle w:val="10"/>
        <w:framePr w:w="10267" w:h="1737" w:hRule="exact" w:wrap="none" w:vAnchor="page" w:hAnchor="page" w:x="1100" w:y="3497"/>
        <w:shd w:val="clear" w:color="auto" w:fill="auto"/>
        <w:spacing w:before="0" w:after="68" w:line="280" w:lineRule="exact"/>
        <w:ind w:right="200" w:firstLine="0"/>
      </w:pPr>
      <w:bookmarkStart w:id="1" w:name="bookmark0"/>
      <w:r>
        <w:t>ПОЛОЖЕНИЕ</w:t>
      </w:r>
      <w:bookmarkEnd w:id="1"/>
    </w:p>
    <w:p w:rsidR="009044E9" w:rsidRDefault="00EE1C10">
      <w:pPr>
        <w:pStyle w:val="40"/>
        <w:framePr w:w="10267" w:h="1737" w:hRule="exact" w:wrap="none" w:vAnchor="page" w:hAnchor="page" w:x="1100" w:y="3497"/>
        <w:shd w:val="clear" w:color="auto" w:fill="auto"/>
        <w:spacing w:before="0" w:after="0"/>
        <w:ind w:right="200"/>
      </w:pPr>
      <w:r>
        <w:t>об оплате труда работников, осуществляющих техническое обеспечение</w:t>
      </w:r>
      <w:r>
        <w:br/>
        <w:t>деятельности органов местного самоуправления Милютинского</w:t>
      </w:r>
      <w:r>
        <w:br/>
        <w:t>сельского поселения, и обслуживающего персонала органов местного</w:t>
      </w:r>
      <w:r>
        <w:br/>
        <w:t>самоуправления Милютинского сельского поселения</w:t>
      </w:r>
    </w:p>
    <w:p w:rsidR="009044E9" w:rsidRDefault="00EE1C10">
      <w:pPr>
        <w:pStyle w:val="10"/>
        <w:framePr w:w="10267" w:h="10270" w:hRule="exact" w:wrap="none" w:vAnchor="page" w:hAnchor="page" w:x="1100" w:y="5820"/>
        <w:numPr>
          <w:ilvl w:val="0"/>
          <w:numId w:val="2"/>
        </w:numPr>
        <w:shd w:val="clear" w:color="auto" w:fill="auto"/>
        <w:tabs>
          <w:tab w:val="left" w:pos="2335"/>
        </w:tabs>
        <w:spacing w:before="0" w:after="73" w:line="280" w:lineRule="exact"/>
        <w:ind w:left="1920" w:firstLine="0"/>
        <w:jc w:val="both"/>
      </w:pPr>
      <w:bookmarkStart w:id="2" w:name="bookmark1"/>
      <w:r>
        <w:t>Предмет регулирования настоящего положения</w:t>
      </w:r>
      <w:bookmarkEnd w:id="2"/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1"/>
          <w:numId w:val="2"/>
        </w:numPr>
        <w:shd w:val="clear" w:color="auto" w:fill="auto"/>
        <w:tabs>
          <w:tab w:val="left" w:pos="1318"/>
        </w:tabs>
        <w:spacing w:after="480" w:line="317" w:lineRule="exact"/>
        <w:ind w:firstLine="780"/>
        <w:jc w:val="both"/>
      </w:pPr>
      <w:proofErr w:type="gramStart"/>
      <w:r>
        <w:t xml:space="preserve">Настоящее положение устанавливает систему оплаты труда работников, занимающих в органах местного самоуправления должности, не </w:t>
      </w:r>
      <w:proofErr w:type="spellStart"/>
      <w:r>
        <w:t>отнесенные</w:t>
      </w:r>
      <w:proofErr w:type="spellEnd"/>
      <w:r>
        <w:t xml:space="preserve"> к должностям муниципальной службы, и осуществляющих техническое обеспечение деятельности указанных органов (далее </w:t>
      </w:r>
      <w:r>
        <w:rPr>
          <w:rStyle w:val="21"/>
        </w:rPr>
        <w:t xml:space="preserve">- </w:t>
      </w:r>
      <w:r>
        <w:t xml:space="preserve">технический персонал), и работников, осуществляющих охрану и (или) обслуживание зданий (помещений), водителей легковых автомобилей, </w:t>
      </w:r>
      <w:proofErr w:type="spellStart"/>
      <w:r>
        <w:t>включенных</w:t>
      </w:r>
      <w:proofErr w:type="spellEnd"/>
      <w:r>
        <w:t xml:space="preserve"> в штатные расписания органов местного самоуправления (далее - обслуживающий персонал).</w:t>
      </w:r>
      <w:proofErr w:type="gramEnd"/>
    </w:p>
    <w:p w:rsidR="009044E9" w:rsidRDefault="00EE1C10">
      <w:pPr>
        <w:pStyle w:val="10"/>
        <w:framePr w:w="10267" w:h="10270" w:hRule="exact" w:wrap="none" w:vAnchor="page" w:hAnchor="page" w:x="1100" w:y="5820"/>
        <w:numPr>
          <w:ilvl w:val="0"/>
          <w:numId w:val="2"/>
        </w:numPr>
        <w:shd w:val="clear" w:color="auto" w:fill="auto"/>
        <w:tabs>
          <w:tab w:val="left" w:pos="2335"/>
        </w:tabs>
        <w:spacing w:before="0" w:after="0" w:line="317" w:lineRule="exact"/>
        <w:ind w:left="1920" w:firstLine="0"/>
        <w:jc w:val="both"/>
      </w:pPr>
      <w:bookmarkStart w:id="3" w:name="bookmark2"/>
      <w:r>
        <w:t>Система оплаты труда технического персонала</w:t>
      </w:r>
      <w:bookmarkEnd w:id="3"/>
    </w:p>
    <w:p w:rsidR="009044E9" w:rsidRDefault="00EE1C10">
      <w:pPr>
        <w:pStyle w:val="10"/>
        <w:framePr w:w="10267" w:h="10270" w:hRule="exact" w:wrap="none" w:vAnchor="page" w:hAnchor="page" w:x="1100" w:y="5820"/>
        <w:shd w:val="clear" w:color="auto" w:fill="auto"/>
        <w:spacing w:before="0" w:after="0" w:line="317" w:lineRule="exact"/>
        <w:ind w:firstLine="0"/>
      </w:pPr>
      <w:bookmarkStart w:id="4" w:name="bookmark3"/>
      <w:r>
        <w:t>и обслуживающего персонала</w:t>
      </w:r>
      <w:bookmarkEnd w:id="4"/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1"/>
          <w:numId w:val="2"/>
        </w:numPr>
        <w:shd w:val="clear" w:color="auto" w:fill="auto"/>
        <w:tabs>
          <w:tab w:val="left" w:pos="598"/>
        </w:tabs>
        <w:spacing w:line="317" w:lineRule="exact"/>
        <w:jc w:val="both"/>
      </w:pPr>
      <w:r>
        <w:t>Система оплаты труда технического персонала включает в себя: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3"/>
        </w:numPr>
        <w:shd w:val="clear" w:color="auto" w:fill="auto"/>
        <w:tabs>
          <w:tab w:val="left" w:pos="1172"/>
        </w:tabs>
        <w:spacing w:line="317" w:lineRule="exact"/>
        <w:ind w:firstLine="780"/>
        <w:jc w:val="both"/>
      </w:pPr>
      <w:r>
        <w:t>должностные оклады руководителей, специалистов и служащих;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3"/>
        </w:numPr>
        <w:shd w:val="clear" w:color="auto" w:fill="auto"/>
        <w:tabs>
          <w:tab w:val="left" w:pos="1196"/>
        </w:tabs>
        <w:spacing w:line="317" w:lineRule="exact"/>
        <w:ind w:firstLine="780"/>
        <w:jc w:val="both"/>
      </w:pPr>
      <w:r>
        <w:t>выплаты компенсационного характера;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3"/>
        </w:numPr>
        <w:shd w:val="clear" w:color="auto" w:fill="auto"/>
        <w:tabs>
          <w:tab w:val="left" w:pos="1196"/>
        </w:tabs>
        <w:spacing w:line="317" w:lineRule="exact"/>
        <w:ind w:firstLine="780"/>
        <w:jc w:val="both"/>
      </w:pPr>
      <w:r>
        <w:t>выплаты стимулирующего характера;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3"/>
        </w:numPr>
        <w:shd w:val="clear" w:color="auto" w:fill="auto"/>
        <w:tabs>
          <w:tab w:val="left" w:pos="1201"/>
        </w:tabs>
        <w:spacing w:line="317" w:lineRule="exact"/>
        <w:ind w:firstLine="780"/>
        <w:jc w:val="both"/>
      </w:pPr>
      <w:r>
        <w:t>иные выплаты, предусмотренные федеральными и областными законами.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1"/>
          <w:numId w:val="2"/>
        </w:numPr>
        <w:shd w:val="clear" w:color="auto" w:fill="auto"/>
        <w:tabs>
          <w:tab w:val="left" w:pos="598"/>
        </w:tabs>
        <w:spacing w:line="317" w:lineRule="exact"/>
        <w:jc w:val="both"/>
      </w:pPr>
      <w:r>
        <w:t>Система оплаты труда обслуживающего персонала включает в себя: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4"/>
        </w:numPr>
        <w:shd w:val="clear" w:color="auto" w:fill="auto"/>
        <w:tabs>
          <w:tab w:val="left" w:pos="1172"/>
        </w:tabs>
        <w:spacing w:line="317" w:lineRule="exact"/>
        <w:ind w:firstLine="780"/>
        <w:jc w:val="both"/>
      </w:pPr>
      <w:r>
        <w:t>ставки заработной платы;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4"/>
        </w:numPr>
        <w:shd w:val="clear" w:color="auto" w:fill="auto"/>
        <w:tabs>
          <w:tab w:val="left" w:pos="1201"/>
        </w:tabs>
        <w:spacing w:line="317" w:lineRule="exact"/>
        <w:ind w:firstLine="780"/>
        <w:jc w:val="both"/>
      </w:pPr>
      <w:r>
        <w:t>выплаты компенсационного характера;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4"/>
        </w:numPr>
        <w:shd w:val="clear" w:color="auto" w:fill="auto"/>
        <w:tabs>
          <w:tab w:val="left" w:pos="1201"/>
        </w:tabs>
        <w:spacing w:line="317" w:lineRule="exact"/>
        <w:ind w:firstLine="780"/>
        <w:jc w:val="both"/>
      </w:pPr>
      <w:r>
        <w:t>выплаты стимулирующего характера.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0"/>
          <w:numId w:val="4"/>
        </w:numPr>
        <w:shd w:val="clear" w:color="auto" w:fill="auto"/>
        <w:tabs>
          <w:tab w:val="left" w:pos="1201"/>
        </w:tabs>
        <w:spacing w:after="296" w:line="317" w:lineRule="exact"/>
        <w:ind w:firstLine="780"/>
        <w:jc w:val="both"/>
      </w:pPr>
      <w:r>
        <w:t>иные выплаты, предусмотренные федеральными и областными законами.</w:t>
      </w:r>
    </w:p>
    <w:p w:rsidR="009044E9" w:rsidRDefault="00EE1C10">
      <w:pPr>
        <w:pStyle w:val="20"/>
        <w:framePr w:w="10267" w:h="10270" w:hRule="exact" w:wrap="none" w:vAnchor="page" w:hAnchor="page" w:x="1100" w:y="5820"/>
        <w:numPr>
          <w:ilvl w:val="1"/>
          <w:numId w:val="2"/>
        </w:numPr>
        <w:shd w:val="clear" w:color="auto" w:fill="auto"/>
        <w:tabs>
          <w:tab w:val="left" w:pos="608"/>
        </w:tabs>
        <w:spacing w:line="322" w:lineRule="exact"/>
        <w:jc w:val="both"/>
      </w:pPr>
      <w:r>
        <w:t xml:space="preserve">Месячная заработная плата работника из числа технического и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законодательством.</w:t>
      </w:r>
    </w:p>
    <w:p w:rsidR="009044E9" w:rsidRDefault="00EE1C10">
      <w:pPr>
        <w:pStyle w:val="20"/>
        <w:framePr w:w="10267" w:h="10270" w:hRule="exact" w:wrap="none" w:vAnchor="page" w:hAnchor="page" w:x="1100" w:y="5820"/>
        <w:shd w:val="clear" w:color="auto" w:fill="auto"/>
        <w:spacing w:line="322" w:lineRule="exact"/>
        <w:ind w:firstLine="320"/>
        <w:jc w:val="both"/>
      </w:pPr>
      <w:proofErr w:type="gramStart"/>
      <w:r>
        <w:t>В случаях, когда заработная плата работника, отработавшего норму рабочего времени в соответствии с режимом рабочего времени (графиком работы учреждения) на соответствующий календарный месяц года, составленным согласно производственному календарю, выполнившего нормы труда (трудовые</w:t>
      </w:r>
      <w:proofErr w:type="gramEnd"/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22" w:lineRule="exact"/>
        <w:jc w:val="both"/>
      </w:pPr>
      <w:r>
        <w:lastRenderedPageBreak/>
        <w:t xml:space="preserve">обязанности), окажется ниже минимального </w:t>
      </w:r>
      <w:proofErr w:type="gramStart"/>
      <w:r>
        <w:t>размера оплаты труда</w:t>
      </w:r>
      <w:proofErr w:type="gramEnd"/>
      <w:r>
        <w:t>, установленного федеральным законодательством, производится доплата до минимального размера оплаты труда.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22" w:lineRule="exact"/>
        <w:jc w:val="both"/>
      </w:pPr>
      <w:r>
        <w:t>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17" w:lineRule="exact"/>
        <w:ind w:firstLine="540"/>
        <w:jc w:val="both"/>
      </w:pPr>
      <w:r>
        <w:t xml:space="preserve">Указанная доплата начисляется </w:t>
      </w:r>
      <w:proofErr w:type="gramStart"/>
      <w:r>
        <w:t>работнику</w:t>
      </w:r>
      <w:proofErr w:type="gramEnd"/>
      <w:r>
        <w:t xml:space="preserve"> как по основному месту работы, так и на работе, осуществляемой по совместительству, выплачивается вместе с основной заработной платой за истекший календарный месяц.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17" w:lineRule="exact"/>
        <w:ind w:firstLine="540"/>
        <w:jc w:val="both"/>
      </w:pPr>
      <w:r>
        <w:t xml:space="preserve">Средства для установления доплаты до минимального </w:t>
      </w:r>
      <w:proofErr w:type="gramStart"/>
      <w:r>
        <w:t>размера оплаты труда</w:t>
      </w:r>
      <w:proofErr w:type="gramEnd"/>
      <w:r>
        <w:t xml:space="preserve"> предусматриваются при планировании фонда оплаты труда на очередной финансовый год.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after="300" w:line="317" w:lineRule="exact"/>
        <w:ind w:firstLine="540"/>
        <w:jc w:val="both"/>
      </w:pPr>
      <w:r>
        <w:t>Техническому персоналу и обслуживающему персоналу могут быть установлены иные выплаты, предусмотренные федеральными и областными законами.</w:t>
      </w:r>
    </w:p>
    <w:p w:rsidR="009044E9" w:rsidRDefault="00EE1C10">
      <w:pPr>
        <w:pStyle w:val="10"/>
        <w:framePr w:w="10282" w:h="12560" w:hRule="exact" w:wrap="none" w:vAnchor="page" w:hAnchor="page" w:x="1093" w:y="540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308" w:line="317" w:lineRule="exact"/>
        <w:ind w:left="1700" w:hanging="1340"/>
        <w:jc w:val="left"/>
      </w:pPr>
      <w:bookmarkStart w:id="5" w:name="bookmark4"/>
      <w:r>
        <w:t>Порядок установления должностных окладов технического персонала и ставок заработной платы обслуживающего персонала</w:t>
      </w:r>
      <w:bookmarkEnd w:id="5"/>
    </w:p>
    <w:p w:rsidR="009044E9" w:rsidRDefault="00EE1C10">
      <w:pPr>
        <w:pStyle w:val="20"/>
        <w:framePr w:w="10282" w:h="12560" w:hRule="exact" w:wrap="none" w:vAnchor="page" w:hAnchor="page" w:x="1093" w:y="540"/>
        <w:numPr>
          <w:ilvl w:val="1"/>
          <w:numId w:val="2"/>
        </w:numPr>
        <w:shd w:val="clear" w:color="auto" w:fill="auto"/>
        <w:tabs>
          <w:tab w:val="left" w:pos="1268"/>
        </w:tabs>
        <w:spacing w:line="307" w:lineRule="exact"/>
        <w:ind w:firstLine="780"/>
      </w:pPr>
      <w:r>
        <w:t>Размеры должностных окладов технического персонала устанавливаются согласно приложению 1 к настоящему Положению.</w:t>
      </w:r>
    </w:p>
    <w:p w:rsidR="009044E9" w:rsidRDefault="00EE1C10">
      <w:pPr>
        <w:pStyle w:val="20"/>
        <w:framePr w:w="10282" w:h="12560" w:hRule="exact" w:wrap="none" w:vAnchor="page" w:hAnchor="page" w:x="1093" w:y="540"/>
        <w:numPr>
          <w:ilvl w:val="1"/>
          <w:numId w:val="2"/>
        </w:numPr>
        <w:shd w:val="clear" w:color="auto" w:fill="auto"/>
        <w:tabs>
          <w:tab w:val="left" w:pos="1430"/>
        </w:tabs>
        <w:spacing w:after="300" w:line="317" w:lineRule="exact"/>
        <w:ind w:firstLine="780"/>
      </w:pPr>
      <w:r>
        <w:t>Размеры ставок заработной платы обслуживающего персонала устанавливаются согласно приложению 2 к настоящему Положению.</w:t>
      </w:r>
    </w:p>
    <w:p w:rsidR="009044E9" w:rsidRDefault="00EE1C10">
      <w:pPr>
        <w:pStyle w:val="10"/>
        <w:framePr w:w="10282" w:h="12560" w:hRule="exact" w:wrap="none" w:vAnchor="page" w:hAnchor="page" w:x="1093" w:y="540"/>
        <w:numPr>
          <w:ilvl w:val="0"/>
          <w:numId w:val="2"/>
        </w:numPr>
        <w:shd w:val="clear" w:color="auto" w:fill="auto"/>
        <w:tabs>
          <w:tab w:val="left" w:pos="1430"/>
        </w:tabs>
        <w:spacing w:before="0" w:after="300" w:line="317" w:lineRule="exact"/>
        <w:ind w:firstLine="780"/>
        <w:jc w:val="left"/>
      </w:pPr>
      <w:bookmarkStart w:id="6" w:name="bookmark5"/>
      <w:proofErr w:type="gramStart"/>
      <w:r>
        <w:t>Увеличение (индексация должностных окладов технического персонала и ставок заработной платы обслуживающего персонала</w:t>
      </w:r>
      <w:bookmarkEnd w:id="6"/>
      <w:proofErr w:type="gramEnd"/>
    </w:p>
    <w:p w:rsidR="009044E9" w:rsidRDefault="00EE1C10">
      <w:pPr>
        <w:pStyle w:val="20"/>
        <w:framePr w:w="10282" w:h="12560" w:hRule="exact" w:wrap="none" w:vAnchor="page" w:hAnchor="page" w:x="1093" w:y="540"/>
        <w:numPr>
          <w:ilvl w:val="1"/>
          <w:numId w:val="2"/>
        </w:numPr>
        <w:shd w:val="clear" w:color="auto" w:fill="auto"/>
        <w:tabs>
          <w:tab w:val="left" w:pos="1430"/>
          <w:tab w:val="left" w:pos="2776"/>
        </w:tabs>
        <w:spacing w:line="317" w:lineRule="exact"/>
        <w:ind w:firstLine="780"/>
      </w:pPr>
      <w:r>
        <w:t>Должностные оклады технического персонала, ставки заработной платы обслуживающего</w:t>
      </w:r>
      <w:r>
        <w:tab/>
        <w:t xml:space="preserve">персонала ежегодно увеличиваются (индексируются) </w:t>
      </w:r>
      <w:proofErr w:type="gramStart"/>
      <w:r>
        <w:t>в</w:t>
      </w:r>
      <w:proofErr w:type="gramEnd"/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17" w:lineRule="exact"/>
      </w:pPr>
      <w:proofErr w:type="gramStart"/>
      <w:r>
        <w:t>размерах</w:t>
      </w:r>
      <w:proofErr w:type="gramEnd"/>
      <w:r>
        <w:t xml:space="preserve"> и в сроки, предусмотренные для работников муниципальных учреждений.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tabs>
          <w:tab w:val="left" w:pos="2776"/>
        </w:tabs>
        <w:spacing w:line="317" w:lineRule="exact"/>
        <w:ind w:left="780"/>
        <w:jc w:val="both"/>
      </w:pPr>
      <w:r>
        <w:t>Увеличение</w:t>
      </w:r>
      <w:r>
        <w:tab/>
        <w:t>(индексация) размеров должностных окладов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17" w:lineRule="exact"/>
      </w:pPr>
      <w:r>
        <w:t>технического персонала, ставок заработной платы обслуживающего персонала производится нормативными правовыми актами органов местного самоуправления Милютинского сельского поселения в размерах и в сроки, установленные Областным законом об Областном бюджете и нормативными правовыми актами Правительства Ростовской области.</w:t>
      </w:r>
    </w:p>
    <w:p w:rsidR="009044E9" w:rsidRDefault="00EE1C10">
      <w:pPr>
        <w:pStyle w:val="20"/>
        <w:framePr w:w="10282" w:h="12560" w:hRule="exact" w:wrap="none" w:vAnchor="page" w:hAnchor="page" w:x="1093" w:y="540"/>
        <w:shd w:val="clear" w:color="auto" w:fill="auto"/>
        <w:spacing w:line="317" w:lineRule="exact"/>
        <w:ind w:firstLine="780"/>
      </w:pPr>
      <w:r>
        <w:t xml:space="preserve">При увеличении (индексации) должностных окладов технического персонала и ставок за заработной платы </w:t>
      </w:r>
      <w:proofErr w:type="gramStart"/>
      <w:r>
        <w:t>о</w:t>
      </w:r>
      <w:proofErr w:type="gramEnd"/>
      <w:r>
        <w:t xml:space="preserve"> обслуживающего персонала их размеры подлежат округлению до целого рубля в сторону увеличения.</w:t>
      </w:r>
    </w:p>
    <w:p w:rsidR="009044E9" w:rsidRDefault="00EE1C10">
      <w:pPr>
        <w:pStyle w:val="10"/>
        <w:framePr w:w="10282" w:h="1676" w:hRule="exact" w:wrap="none" w:vAnchor="page" w:hAnchor="page" w:x="1093" w:y="14312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296" w:line="322" w:lineRule="exact"/>
        <w:ind w:left="1700" w:hanging="1480"/>
        <w:jc w:val="left"/>
      </w:pPr>
      <w:bookmarkStart w:id="7" w:name="bookmark6"/>
      <w:r>
        <w:t>Компенсационные выплаты отдельным категориям работников из числа технического персонала и обслуживающего персонала</w:t>
      </w:r>
      <w:bookmarkEnd w:id="7"/>
    </w:p>
    <w:p w:rsidR="009044E9" w:rsidRDefault="00EE1C10">
      <w:pPr>
        <w:pStyle w:val="20"/>
        <w:framePr w:w="10282" w:h="1676" w:hRule="exact" w:wrap="none" w:vAnchor="page" w:hAnchor="page" w:x="1093" w:y="14312"/>
        <w:shd w:val="clear" w:color="auto" w:fill="auto"/>
        <w:spacing w:line="326" w:lineRule="exact"/>
        <w:ind w:firstLine="540"/>
        <w:jc w:val="both"/>
      </w:pPr>
      <w:r>
        <w:t xml:space="preserve">5.1 .Отдельным категориям работников из числа технического персонала и обслуживающего персонала ежемесячно выплачиваются следующие доплаты </w:t>
      </w:r>
      <w:proofErr w:type="gramStart"/>
      <w:r>
        <w:t>к</w:t>
      </w:r>
      <w:proofErr w:type="gramEnd"/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20"/>
        <w:framePr w:w="10258" w:h="3580" w:hRule="exact" w:wrap="none" w:vAnchor="page" w:hAnchor="page" w:x="1105" w:y="525"/>
        <w:shd w:val="clear" w:color="auto" w:fill="auto"/>
        <w:spacing w:line="317" w:lineRule="exact"/>
      </w:pPr>
      <w:r>
        <w:lastRenderedPageBreak/>
        <w:t>должностному окладу, ставке заработной платы:</w:t>
      </w:r>
    </w:p>
    <w:p w:rsidR="009044E9" w:rsidRDefault="00EE1C10">
      <w:pPr>
        <w:pStyle w:val="20"/>
        <w:framePr w:w="10258" w:h="3580" w:hRule="exact" w:wrap="none" w:vAnchor="page" w:hAnchor="page" w:x="1105" w:y="525"/>
        <w:numPr>
          <w:ilvl w:val="0"/>
          <w:numId w:val="5"/>
        </w:numPr>
        <w:shd w:val="clear" w:color="auto" w:fill="auto"/>
        <w:tabs>
          <w:tab w:val="left" w:pos="971"/>
        </w:tabs>
        <w:spacing w:line="317" w:lineRule="exact"/>
        <w:ind w:firstLine="760"/>
        <w:jc w:val="both"/>
      </w:pPr>
      <w:r>
        <w:t>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9044E9" w:rsidRDefault="00EE1C10">
      <w:pPr>
        <w:pStyle w:val="20"/>
        <w:framePr w:w="10258" w:h="3580" w:hRule="exact" w:wrap="none" w:vAnchor="page" w:hAnchor="page" w:x="1105" w:y="525"/>
        <w:shd w:val="clear" w:color="auto" w:fill="auto"/>
        <w:spacing w:line="317" w:lineRule="exact"/>
        <w:ind w:firstLine="640"/>
        <w:jc w:val="both"/>
      </w:pPr>
      <w:r>
        <w:t>Указанная доплата устанавливается по результатам аттестации рабочих мест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определяется правовыми актами соответствующих муниципальных органов.</w:t>
      </w:r>
    </w:p>
    <w:p w:rsidR="009044E9" w:rsidRDefault="00EE1C10">
      <w:pPr>
        <w:pStyle w:val="20"/>
        <w:framePr w:w="10258" w:h="3580" w:hRule="exact" w:wrap="none" w:vAnchor="page" w:hAnchor="page" w:x="1105" w:y="525"/>
        <w:numPr>
          <w:ilvl w:val="0"/>
          <w:numId w:val="5"/>
        </w:numPr>
        <w:shd w:val="clear" w:color="auto" w:fill="auto"/>
        <w:tabs>
          <w:tab w:val="left" w:pos="971"/>
        </w:tabs>
        <w:spacing w:line="317" w:lineRule="exact"/>
        <w:ind w:firstLine="640"/>
        <w:jc w:val="both"/>
      </w:pPr>
      <w:r>
        <w:t>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9044E9" w:rsidRDefault="00EE1C10">
      <w:pPr>
        <w:pStyle w:val="10"/>
        <w:framePr w:w="10258" w:h="6785" w:hRule="exact" w:wrap="none" w:vAnchor="page" w:hAnchor="page" w:x="1105" w:y="4381"/>
        <w:numPr>
          <w:ilvl w:val="0"/>
          <w:numId w:val="2"/>
        </w:numPr>
        <w:shd w:val="clear" w:color="auto" w:fill="auto"/>
        <w:tabs>
          <w:tab w:val="left" w:pos="2058"/>
        </w:tabs>
        <w:spacing w:before="0" w:after="304" w:line="322" w:lineRule="exact"/>
        <w:ind w:left="3220" w:right="1600"/>
        <w:jc w:val="left"/>
      </w:pPr>
      <w:bookmarkStart w:id="8" w:name="bookmark7"/>
      <w:r>
        <w:t>Стимулирующие выплаты техническому персоналу и обслуживающему персоналу</w:t>
      </w:r>
      <w:bookmarkEnd w:id="8"/>
    </w:p>
    <w:p w:rsidR="009044E9" w:rsidRDefault="00EE1C10">
      <w:pPr>
        <w:pStyle w:val="20"/>
        <w:framePr w:w="10258" w:h="6785" w:hRule="exact" w:wrap="none" w:vAnchor="page" w:hAnchor="page" w:x="1105" w:y="4381"/>
        <w:numPr>
          <w:ilvl w:val="1"/>
          <w:numId w:val="2"/>
        </w:numPr>
        <w:shd w:val="clear" w:color="auto" w:fill="auto"/>
        <w:tabs>
          <w:tab w:val="left" w:pos="1318"/>
        </w:tabs>
        <w:spacing w:line="317" w:lineRule="exact"/>
        <w:ind w:firstLine="760"/>
        <w:jc w:val="both"/>
      </w:pPr>
      <w:r>
        <w:t>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9044E9" w:rsidRDefault="00EE1C10">
      <w:pPr>
        <w:pStyle w:val="20"/>
        <w:framePr w:w="10258" w:h="6785" w:hRule="exact" w:wrap="none" w:vAnchor="page" w:hAnchor="page" w:x="1105" w:y="4381"/>
        <w:numPr>
          <w:ilvl w:val="0"/>
          <w:numId w:val="6"/>
        </w:numPr>
        <w:shd w:val="clear" w:color="auto" w:fill="auto"/>
        <w:tabs>
          <w:tab w:val="left" w:pos="1099"/>
        </w:tabs>
        <w:spacing w:line="317" w:lineRule="exact"/>
        <w:ind w:firstLine="760"/>
        <w:jc w:val="both"/>
      </w:pPr>
      <w:r>
        <w:t>работникам из числа технического персонала:</w:t>
      </w:r>
    </w:p>
    <w:p w:rsidR="009044E9" w:rsidRDefault="00EE1C10">
      <w:pPr>
        <w:pStyle w:val="20"/>
        <w:framePr w:w="10258" w:h="6785" w:hRule="exact" w:wrap="none" w:vAnchor="page" w:hAnchor="page" w:x="1105" w:y="4381"/>
        <w:shd w:val="clear" w:color="auto" w:fill="auto"/>
        <w:spacing w:line="317" w:lineRule="exact"/>
      </w:pPr>
      <w:r>
        <w:t>Старшим инспекторам - до 200 процентов должностного оклада;</w:t>
      </w:r>
    </w:p>
    <w:p w:rsidR="009044E9" w:rsidRDefault="00EE1C10">
      <w:pPr>
        <w:pStyle w:val="20"/>
        <w:framePr w:w="10258" w:h="6785" w:hRule="exact" w:wrap="none" w:vAnchor="page" w:hAnchor="page" w:x="1105" w:y="4381"/>
        <w:numPr>
          <w:ilvl w:val="0"/>
          <w:numId w:val="6"/>
        </w:numPr>
        <w:shd w:val="clear" w:color="auto" w:fill="auto"/>
        <w:tabs>
          <w:tab w:val="left" w:pos="1049"/>
        </w:tabs>
        <w:spacing w:line="317" w:lineRule="exact"/>
        <w:ind w:firstLine="760"/>
        <w:jc w:val="both"/>
      </w:pPr>
      <w:r>
        <w:t>другим категориям работников из числа технического персонала - от 100 до 150 процентов должностного оклада;</w:t>
      </w:r>
    </w:p>
    <w:p w:rsidR="009044E9" w:rsidRDefault="00EE1C10">
      <w:pPr>
        <w:pStyle w:val="20"/>
        <w:framePr w:w="10258" w:h="6785" w:hRule="exact" w:wrap="none" w:vAnchor="page" w:hAnchor="page" w:x="1105" w:y="4381"/>
        <w:numPr>
          <w:ilvl w:val="0"/>
          <w:numId w:val="6"/>
        </w:numPr>
        <w:shd w:val="clear" w:color="auto" w:fill="auto"/>
        <w:tabs>
          <w:tab w:val="left" w:pos="1088"/>
        </w:tabs>
        <w:spacing w:line="317" w:lineRule="exact"/>
        <w:ind w:firstLine="760"/>
        <w:jc w:val="both"/>
      </w:pPr>
      <w:r>
        <w:t>работникам из числа обслуживающего персонала - до 50 процентов ставки заработной платы.</w:t>
      </w:r>
    </w:p>
    <w:p w:rsidR="009044E9" w:rsidRDefault="00EE1C10">
      <w:pPr>
        <w:pStyle w:val="20"/>
        <w:framePr w:w="10258" w:h="6785" w:hRule="exact" w:wrap="none" w:vAnchor="page" w:hAnchor="page" w:x="1105" w:y="4381"/>
        <w:shd w:val="clear" w:color="auto" w:fill="auto"/>
        <w:spacing w:line="317" w:lineRule="exact"/>
        <w:ind w:firstLine="760"/>
        <w:jc w:val="both"/>
      </w:pPr>
      <w: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9044E9" w:rsidRDefault="00EE1C10">
      <w:pPr>
        <w:pStyle w:val="20"/>
        <w:framePr w:w="10258" w:h="6785" w:hRule="exact" w:wrap="none" w:vAnchor="page" w:hAnchor="page" w:x="1105" w:y="4381"/>
        <w:shd w:val="clear" w:color="auto" w:fill="auto"/>
        <w:spacing w:line="317" w:lineRule="exact"/>
        <w:ind w:firstLine="760"/>
        <w:jc w:val="both"/>
      </w:pPr>
      <w:r>
        <w:t xml:space="preserve">Условия и порядок выплаты ежемесячной доплаты за </w:t>
      </w:r>
      <w:proofErr w:type="gramStart"/>
      <w:r>
        <w:t>интенсивность</w:t>
      </w:r>
      <w:proofErr w:type="gramEnd"/>
      <w:r>
        <w:t xml:space="preserve"> и высокие результаты работы определяется правовыми актами соответствующих муниципальных органов.</w:t>
      </w:r>
    </w:p>
    <w:p w:rsidR="009044E9" w:rsidRDefault="00EE1C10">
      <w:pPr>
        <w:pStyle w:val="20"/>
        <w:framePr w:w="10258" w:h="6785" w:hRule="exact" w:wrap="none" w:vAnchor="page" w:hAnchor="page" w:x="1105" w:y="4381"/>
        <w:numPr>
          <w:ilvl w:val="1"/>
          <w:numId w:val="2"/>
        </w:numPr>
        <w:shd w:val="clear" w:color="auto" w:fill="auto"/>
        <w:tabs>
          <w:tab w:val="left" w:pos="1318"/>
        </w:tabs>
        <w:spacing w:line="317" w:lineRule="exact"/>
        <w:ind w:firstLine="760"/>
        <w:jc w:val="both"/>
      </w:pPr>
      <w:r>
        <w:t>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664"/>
      </w:tblGrid>
      <w:tr w:rsidR="009044E9">
        <w:trPr>
          <w:trHeight w:hRule="exact" w:val="42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при стаже работы: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в процентах</w:t>
            </w:r>
          </w:p>
        </w:tc>
      </w:tr>
      <w:tr w:rsidR="009044E9">
        <w:trPr>
          <w:trHeight w:hRule="exact" w:val="41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от 1 года до 5 лет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10</w:t>
            </w:r>
          </w:p>
        </w:tc>
      </w:tr>
      <w:tr w:rsidR="009044E9">
        <w:trPr>
          <w:trHeight w:hRule="exact" w:val="40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от 5 до 10 лет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15</w:t>
            </w:r>
          </w:p>
        </w:tc>
      </w:tr>
      <w:tr w:rsidR="009044E9">
        <w:trPr>
          <w:trHeight w:hRule="exact" w:val="408"/>
        </w:trPr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от 10 до 15 лет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20</w:t>
            </w:r>
          </w:p>
        </w:tc>
      </w:tr>
      <w:tr w:rsidR="009044E9">
        <w:trPr>
          <w:trHeight w:hRule="exact" w:val="44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свыше 15 лет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5141" w:h="2098" w:wrap="none" w:vAnchor="page" w:hAnchor="page" w:x="3673" w:y="11458"/>
              <w:shd w:val="clear" w:color="auto" w:fill="auto"/>
              <w:spacing w:line="280" w:lineRule="exact"/>
            </w:pPr>
            <w:r>
              <w:rPr>
                <w:rStyle w:val="22"/>
              </w:rPr>
              <w:t>30</w:t>
            </w:r>
          </w:p>
        </w:tc>
      </w:tr>
    </w:tbl>
    <w:p w:rsidR="009044E9" w:rsidRDefault="00EE1C10">
      <w:pPr>
        <w:pStyle w:val="20"/>
        <w:framePr w:w="10258" w:h="2643" w:hRule="exact" w:wrap="none" w:vAnchor="page" w:hAnchor="page" w:x="1105" w:y="13505"/>
        <w:shd w:val="clear" w:color="auto" w:fill="auto"/>
        <w:spacing w:line="317" w:lineRule="exact"/>
        <w:ind w:firstLine="760"/>
        <w:jc w:val="both"/>
      </w:pPr>
      <w:r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федеральных государственных органов, замещающих должности, не являющиеся должностями федеральной государственной службы, ежемесячной надбавки за выслугу лет.</w:t>
      </w:r>
    </w:p>
    <w:p w:rsidR="009044E9" w:rsidRDefault="00EE1C10">
      <w:pPr>
        <w:pStyle w:val="20"/>
        <w:framePr w:w="10258" w:h="2643" w:hRule="exact" w:wrap="none" w:vAnchor="page" w:hAnchor="page" w:x="1105" w:y="13505"/>
        <w:numPr>
          <w:ilvl w:val="1"/>
          <w:numId w:val="2"/>
        </w:numPr>
        <w:shd w:val="clear" w:color="auto" w:fill="auto"/>
        <w:tabs>
          <w:tab w:val="left" w:pos="1318"/>
        </w:tabs>
        <w:spacing w:line="336" w:lineRule="exact"/>
        <w:ind w:firstLine="760"/>
        <w:jc w:val="both"/>
      </w:pPr>
      <w:r>
        <w:t>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7"/>
        </w:numPr>
        <w:shd w:val="clear" w:color="auto" w:fill="auto"/>
        <w:tabs>
          <w:tab w:val="left" w:pos="1092"/>
        </w:tabs>
        <w:spacing w:line="317" w:lineRule="exact"/>
        <w:ind w:firstLine="760"/>
        <w:jc w:val="both"/>
      </w:pPr>
      <w:r>
        <w:lastRenderedPageBreak/>
        <w:t>старшим инспекторам - до 50 процентов должностного оклада;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7"/>
        </w:numPr>
        <w:shd w:val="clear" w:color="auto" w:fill="auto"/>
        <w:tabs>
          <w:tab w:val="left" w:pos="1090"/>
        </w:tabs>
        <w:spacing w:line="317" w:lineRule="exact"/>
        <w:ind w:firstLine="760"/>
        <w:jc w:val="both"/>
      </w:pPr>
      <w:r>
        <w:t>другим работникам из числа технического персонала - до 25 процентов должностного оклада;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7"/>
        </w:numPr>
        <w:shd w:val="clear" w:color="auto" w:fill="auto"/>
        <w:tabs>
          <w:tab w:val="left" w:pos="1086"/>
        </w:tabs>
        <w:spacing w:line="317" w:lineRule="exact"/>
        <w:ind w:firstLine="760"/>
        <w:jc w:val="both"/>
      </w:pPr>
      <w:r>
        <w:t>рабочим из числа обслуживающего персонала, тарифицируемым по 1 - 3 разрядам - до 25 процентов ставки заработной платы;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7"/>
        </w:numPr>
        <w:shd w:val="clear" w:color="auto" w:fill="auto"/>
        <w:tabs>
          <w:tab w:val="left" w:pos="1081"/>
        </w:tabs>
        <w:spacing w:line="317" w:lineRule="exact"/>
        <w:ind w:firstLine="760"/>
        <w:jc w:val="both"/>
      </w:pPr>
      <w:r>
        <w:t>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1"/>
          <w:numId w:val="2"/>
        </w:numPr>
        <w:shd w:val="clear" w:color="auto" w:fill="auto"/>
        <w:tabs>
          <w:tab w:val="left" w:pos="1325"/>
        </w:tabs>
        <w:spacing w:line="317" w:lineRule="exact"/>
        <w:ind w:firstLine="760"/>
        <w:jc w:val="both"/>
      </w:pPr>
      <w:r>
        <w:t xml:space="preserve">Техническому персоналу и обслуживающему персоналу в пределах </w:t>
      </w:r>
      <w:proofErr w:type="spellStart"/>
      <w:r>
        <w:t>утвержденного</w:t>
      </w:r>
      <w:proofErr w:type="spellEnd"/>
      <w:r>
        <w:t xml:space="preserve"> фонда оплаты труда, может </w:t>
      </w:r>
      <w:proofErr w:type="gramStart"/>
      <w:r>
        <w:t>производится</w:t>
      </w:r>
      <w:proofErr w:type="gramEnd"/>
      <w:r>
        <w:t xml:space="preserve"> выплата (доплата) за совмещение должностей, расширение зон обслуживания, увеличения </w:t>
      </w:r>
      <w:proofErr w:type="spellStart"/>
      <w:r>
        <w:t>объема</w:t>
      </w:r>
      <w:proofErr w:type="spellEnd"/>
      <w:r>
        <w:t xml:space="preserve"> работы или исполнение обязанностей временно отсутствующего работника без освобождения от работы, </w:t>
      </w:r>
      <w:proofErr w:type="spellStart"/>
      <w:r>
        <w:t>определенной</w:t>
      </w:r>
      <w:proofErr w:type="spellEnd"/>
      <w:r>
        <w:t xml:space="preserve"> трудовым договором. В этих случаях, размер денежной доплаты устанавливается в процентном выражении от денежного </w:t>
      </w:r>
      <w:proofErr w:type="gramStart"/>
      <w:r>
        <w:t>содержания</w:t>
      </w:r>
      <w:proofErr w:type="gramEnd"/>
      <w:r>
        <w:t xml:space="preserve"> замещающего сотрудника, либо в </w:t>
      </w:r>
      <w:proofErr w:type="spellStart"/>
      <w:r>
        <w:t>твердой</w:t>
      </w:r>
      <w:proofErr w:type="spellEnd"/>
      <w:r>
        <w:t xml:space="preserve"> ставке, но не более средств, установленным фондом оплаты труда по отсутствующему сотруднику с </w:t>
      </w:r>
      <w:proofErr w:type="spellStart"/>
      <w:r>
        <w:t>учетом</w:t>
      </w:r>
      <w:proofErr w:type="spellEnd"/>
      <w:r>
        <w:t xml:space="preserve"> содержания и (или) </w:t>
      </w:r>
      <w:proofErr w:type="spellStart"/>
      <w:r>
        <w:t>объема</w:t>
      </w:r>
      <w:proofErr w:type="spellEnd"/>
      <w:r>
        <w:t xml:space="preserve"> дополнительной работы.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1"/>
          <w:numId w:val="2"/>
        </w:numPr>
        <w:shd w:val="clear" w:color="auto" w:fill="auto"/>
        <w:tabs>
          <w:tab w:val="left" w:pos="1325"/>
        </w:tabs>
        <w:spacing w:line="317" w:lineRule="exact"/>
        <w:ind w:firstLine="760"/>
        <w:jc w:val="both"/>
      </w:pPr>
      <w:r>
        <w:t xml:space="preserve">Техническому персоналу в пределах </w:t>
      </w:r>
      <w:proofErr w:type="spellStart"/>
      <w:r>
        <w:t>утвержденного</w:t>
      </w:r>
      <w:proofErr w:type="spellEnd"/>
      <w:r>
        <w:t xml:space="preserve"> фонда оплаты труда может быть выплачена премия в размере двух должностных окладов по результатам работы за год.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shd w:val="clear" w:color="auto" w:fill="auto"/>
        <w:spacing w:line="317" w:lineRule="exact"/>
        <w:ind w:firstLine="760"/>
        <w:jc w:val="both"/>
      </w:pPr>
      <w:proofErr w:type="gramStart"/>
      <w:r>
        <w:t xml:space="preserve">Техническому персоналу и рабочим из числа обслуживающего персонала, тарифицируемым по 4 и 5 разрядам в пределах </w:t>
      </w:r>
      <w:proofErr w:type="spellStart"/>
      <w:r>
        <w:t>утвержденного</w:t>
      </w:r>
      <w:proofErr w:type="spellEnd"/>
      <w:r>
        <w:t xml:space="preserve"> фонда оплаты труда может быть выплачена единовременная премия по результатам выполнения разовых и иных поручений, достижением значимых результатов в ходе выполнения своих должностных обязанностей, в связи с профессиональными праздниками</w:t>
      </w:r>
      <w:r w:rsidR="00C8606F">
        <w:t>, а так же в связи с регистрацией брака, рождением детей, смертью близких родственников</w:t>
      </w:r>
      <w:r>
        <w:t>.</w:t>
      </w:r>
      <w:proofErr w:type="gramEnd"/>
    </w:p>
    <w:p w:rsidR="009044E9" w:rsidRDefault="00EE1C10" w:rsidP="00C8606F">
      <w:pPr>
        <w:pStyle w:val="20"/>
        <w:framePr w:w="10258" w:h="15691" w:hRule="exact" w:wrap="none" w:vAnchor="page" w:hAnchor="page" w:x="1105" w:y="549"/>
        <w:shd w:val="clear" w:color="auto" w:fill="auto"/>
        <w:spacing w:line="317" w:lineRule="exact"/>
        <w:ind w:firstLine="760"/>
        <w:jc w:val="both"/>
      </w:pPr>
      <w:r>
        <w:t>Условия и порядок премирования технического персонала и обслуживающего персонала определяется правовыми актами соответствующих муниципальных органов.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1"/>
          <w:numId w:val="2"/>
        </w:numPr>
        <w:shd w:val="clear" w:color="auto" w:fill="auto"/>
        <w:spacing w:line="317" w:lineRule="exact"/>
        <w:ind w:firstLine="760"/>
        <w:jc w:val="both"/>
      </w:pPr>
      <w:r>
        <w:t xml:space="preserve"> Работникам из числа технического персонала выплачивается материальная помощь в размере 2 должностных окладов. Порядок и условия выплаты материальной помощи устанавливается правовыми актами соответствующих муниципальных органов.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shd w:val="clear" w:color="auto" w:fill="auto"/>
        <w:spacing w:line="317" w:lineRule="exact"/>
        <w:ind w:firstLine="760"/>
        <w:jc w:val="both"/>
      </w:pPr>
      <w:r>
        <w:t>6.5. Водителям легковых автомобилей ежемесячно к ставке заработной платы могут быть устан</w:t>
      </w:r>
      <w:r w:rsidR="00C8606F">
        <w:t>о</w:t>
      </w:r>
      <w:r>
        <w:t>влены следующие надбавки: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8"/>
        </w:numPr>
        <w:shd w:val="clear" w:color="auto" w:fill="auto"/>
        <w:tabs>
          <w:tab w:val="left" w:pos="1076"/>
        </w:tabs>
        <w:spacing w:line="317" w:lineRule="exact"/>
        <w:ind w:firstLine="760"/>
        <w:jc w:val="both"/>
      </w:pPr>
      <w:r>
        <w:t>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9044E9" w:rsidRPr="009C46A2" w:rsidRDefault="00EE1C10" w:rsidP="00C8606F">
      <w:pPr>
        <w:pStyle w:val="20"/>
        <w:framePr w:w="10258" w:h="15691" w:hRule="exact" w:wrap="none" w:vAnchor="page" w:hAnchor="page" w:x="1105" w:y="549"/>
        <w:numPr>
          <w:ilvl w:val="0"/>
          <w:numId w:val="8"/>
        </w:numPr>
        <w:shd w:val="clear" w:color="auto" w:fill="auto"/>
        <w:tabs>
          <w:tab w:val="left" w:pos="1071"/>
        </w:tabs>
        <w:spacing w:line="317" w:lineRule="exact"/>
        <w:ind w:firstLine="760"/>
        <w:jc w:val="both"/>
        <w:rPr>
          <w:highlight w:val="yellow"/>
        </w:rPr>
      </w:pPr>
      <w:r w:rsidRPr="009C46A2">
        <w:rPr>
          <w:highlight w:val="yellow"/>
        </w:rPr>
        <w:t xml:space="preserve">за безаварийную эксплуатацию автомобиля </w:t>
      </w:r>
      <w:r w:rsidRPr="009C46A2">
        <w:rPr>
          <w:rStyle w:val="21"/>
          <w:highlight w:val="yellow"/>
        </w:rPr>
        <w:t xml:space="preserve">- </w:t>
      </w:r>
      <w:r w:rsidRPr="009C46A2">
        <w:rPr>
          <w:highlight w:val="yellow"/>
        </w:rPr>
        <w:t>в размере до 100 процентов ставки заработной платы.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shd w:val="clear" w:color="auto" w:fill="auto"/>
        <w:spacing w:line="317" w:lineRule="exact"/>
        <w:ind w:firstLine="760"/>
        <w:jc w:val="both"/>
      </w:pPr>
      <w:r>
        <w:t>Порядок и условия выплаты указанной надбавки устанавливается правовыми актами соответствующих муниципальных органов.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numPr>
          <w:ilvl w:val="1"/>
          <w:numId w:val="2"/>
        </w:numPr>
        <w:shd w:val="clear" w:color="auto" w:fill="auto"/>
        <w:tabs>
          <w:tab w:val="left" w:pos="1325"/>
        </w:tabs>
        <w:spacing w:line="317" w:lineRule="exact"/>
        <w:ind w:firstLine="760"/>
        <w:jc w:val="both"/>
      </w:pPr>
      <w:proofErr w:type="gramStart"/>
      <w:r>
        <w:t>Водителям легковых автомобилей, тарифицированным по 4 и 5 квалификационным разрядам по решению работодателя к ставке заработной платы устанавливается</w:t>
      </w:r>
      <w:proofErr w:type="gramEnd"/>
      <w:r>
        <w:t xml:space="preserve"> надбавка за выполнение важных и ответственных работ в размере не более 20 процентов ставки заработной платы.</w:t>
      </w:r>
    </w:p>
    <w:p w:rsidR="009044E9" w:rsidRDefault="00EE1C10" w:rsidP="00C8606F">
      <w:pPr>
        <w:pStyle w:val="20"/>
        <w:framePr w:w="10258" w:h="15691" w:hRule="exact" w:wrap="none" w:vAnchor="page" w:hAnchor="page" w:x="1105" w:y="549"/>
        <w:shd w:val="clear" w:color="auto" w:fill="auto"/>
        <w:spacing w:line="317" w:lineRule="exact"/>
        <w:ind w:firstLine="760"/>
        <w:jc w:val="both"/>
      </w:pPr>
      <w:r>
        <w:t>Условия и порядок выплаты ежемесячной надбавки за выполнение важных и ответственных работ определяется правовыми актами соответствующих муниципальных органов.</w:t>
      </w:r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40"/>
        <w:framePr w:w="10234" w:h="11865" w:hRule="exact" w:wrap="none" w:vAnchor="page" w:hAnchor="page" w:x="1117" w:y="1202"/>
        <w:numPr>
          <w:ilvl w:val="0"/>
          <w:numId w:val="2"/>
        </w:numPr>
        <w:shd w:val="clear" w:color="auto" w:fill="auto"/>
        <w:tabs>
          <w:tab w:val="left" w:pos="1069"/>
        </w:tabs>
        <w:spacing w:before="0" w:after="0" w:line="280" w:lineRule="exact"/>
        <w:ind w:left="520"/>
        <w:jc w:val="both"/>
      </w:pPr>
      <w:r>
        <w:lastRenderedPageBreak/>
        <w:t>Финансирование расходов на оплату труда технического персонала и</w:t>
      </w:r>
    </w:p>
    <w:p w:rsidR="009044E9" w:rsidRDefault="00EE1C10">
      <w:pPr>
        <w:pStyle w:val="40"/>
        <w:framePr w:w="10234" w:h="11865" w:hRule="exact" w:wrap="none" w:vAnchor="page" w:hAnchor="page" w:x="1117" w:y="1202"/>
        <w:shd w:val="clear" w:color="auto" w:fill="auto"/>
        <w:spacing w:before="0" w:after="284" w:line="280" w:lineRule="exact"/>
      </w:pPr>
      <w:r>
        <w:t>обслуживающего персонала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1"/>
          <w:numId w:val="2"/>
        </w:numPr>
        <w:shd w:val="clear" w:color="auto" w:fill="auto"/>
        <w:tabs>
          <w:tab w:val="left" w:pos="1368"/>
        </w:tabs>
        <w:spacing w:line="317" w:lineRule="exact"/>
        <w:ind w:firstLine="760"/>
        <w:jc w:val="both"/>
      </w:pPr>
      <w:r>
        <w:t xml:space="preserve">Финансирование расходов на оплату труда технического персонала и обслуживающего персонала осуществляется за </w:t>
      </w:r>
      <w:proofErr w:type="spellStart"/>
      <w:r>
        <w:t>счет</w:t>
      </w:r>
      <w:proofErr w:type="spellEnd"/>
      <w:r>
        <w:t xml:space="preserve"> средств местного бюджета.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1"/>
          <w:numId w:val="2"/>
        </w:numPr>
        <w:shd w:val="clear" w:color="auto" w:fill="auto"/>
        <w:tabs>
          <w:tab w:val="left" w:pos="1368"/>
        </w:tabs>
        <w:spacing w:line="317" w:lineRule="exact"/>
        <w:ind w:firstLine="760"/>
        <w:jc w:val="both"/>
      </w:pPr>
      <w:r>
        <w:t xml:space="preserve">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</w:t>
      </w:r>
      <w:proofErr w:type="spellStart"/>
      <w:r>
        <w:t>расчете</w:t>
      </w:r>
      <w:proofErr w:type="spellEnd"/>
      <w:r>
        <w:t xml:space="preserve"> на год):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9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>ежемесячной надбавки к должностному окладу за интенсивность и высокие результаты работы - в размере 18 должностных окладов;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9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>ежемесячной надбавки к должностному окладу за выслугу лет - в размере 3 должностных окладов;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9"/>
        </w:numPr>
        <w:shd w:val="clear" w:color="auto" w:fill="auto"/>
        <w:tabs>
          <w:tab w:val="left" w:pos="1106"/>
        </w:tabs>
        <w:spacing w:line="317" w:lineRule="exact"/>
        <w:ind w:firstLine="760"/>
        <w:jc w:val="both"/>
      </w:pPr>
      <w:r>
        <w:t xml:space="preserve">премии по результатам работы за месяц </w:t>
      </w:r>
      <w:r>
        <w:rPr>
          <w:rStyle w:val="23"/>
        </w:rPr>
        <w:t xml:space="preserve">- </w:t>
      </w:r>
      <w:r>
        <w:t>в размере 3 должностных окладов;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9"/>
        </w:numPr>
        <w:shd w:val="clear" w:color="auto" w:fill="auto"/>
        <w:tabs>
          <w:tab w:val="left" w:pos="1151"/>
        </w:tabs>
        <w:spacing w:line="317" w:lineRule="exact"/>
        <w:ind w:firstLine="760"/>
        <w:jc w:val="both"/>
      </w:pPr>
      <w:r>
        <w:t>материальной помощи - в размере 2 должностных окладов;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9"/>
        </w:numPr>
        <w:shd w:val="clear" w:color="auto" w:fill="auto"/>
        <w:tabs>
          <w:tab w:val="left" w:pos="1116"/>
        </w:tabs>
        <w:spacing w:line="317" w:lineRule="exact"/>
        <w:ind w:firstLine="760"/>
        <w:jc w:val="both"/>
      </w:pPr>
      <w:r>
        <w:t xml:space="preserve">ежемесячная доплата к должностному окладу за работу в ночное время выплачивается в пределах </w:t>
      </w:r>
      <w:proofErr w:type="spellStart"/>
      <w:r>
        <w:t>утвержденного</w:t>
      </w:r>
      <w:proofErr w:type="spellEnd"/>
      <w:r>
        <w:t xml:space="preserve"> фонда оплаты труда.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1"/>
          <w:numId w:val="2"/>
        </w:numPr>
        <w:shd w:val="clear" w:color="auto" w:fill="auto"/>
        <w:tabs>
          <w:tab w:val="left" w:pos="1368"/>
        </w:tabs>
        <w:spacing w:line="317" w:lineRule="exact"/>
        <w:ind w:firstLine="760"/>
        <w:jc w:val="both"/>
      </w:pPr>
      <w:r>
        <w:t xml:space="preserve">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</w:t>
      </w:r>
      <w:proofErr w:type="spellStart"/>
      <w:r>
        <w:t>расчете</w:t>
      </w:r>
      <w:proofErr w:type="spellEnd"/>
      <w:r>
        <w:t xml:space="preserve"> на год):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 xml:space="preserve">ежемесячной надбавки к ставке заработной платы за интенсивность и высокие результаты работы </w:t>
      </w:r>
      <w:r>
        <w:rPr>
          <w:rStyle w:val="23"/>
        </w:rPr>
        <w:t xml:space="preserve">- </w:t>
      </w:r>
      <w:r>
        <w:t>в размере 6 ставок заработной платы;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>премии по результатам работы за месяц - в размере 6 ставок заработной платы;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16"/>
        </w:tabs>
        <w:spacing w:line="317" w:lineRule="exact"/>
        <w:ind w:firstLine="760"/>
        <w:jc w:val="both"/>
      </w:pPr>
      <w:r>
        <w:t>ежемесячной надбавки к ставке заработной платы водителям легковых автомобилей за безаварийную эксплуатацию автомобиля - в размере 12 ставок заработной платы;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02"/>
        </w:tabs>
        <w:spacing w:line="317" w:lineRule="exact"/>
        <w:ind w:firstLine="760"/>
        <w:jc w:val="both"/>
      </w:pPr>
      <w:r>
        <w:t xml:space="preserve">ежемесячная надбавка к ставке заработной платы водителям легковых автомобилей за выполнение важных и ответственных работ </w:t>
      </w:r>
      <w:r>
        <w:rPr>
          <w:rStyle w:val="21"/>
        </w:rPr>
        <w:t xml:space="preserve">- </w:t>
      </w:r>
      <w:r>
        <w:t>в размере до 2,4 ставок заработной платы.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11"/>
        </w:tabs>
        <w:spacing w:line="317" w:lineRule="exact"/>
        <w:ind w:firstLine="760"/>
        <w:jc w:val="both"/>
      </w:pPr>
      <w:r>
        <w:t>ежемесячной надбавки к ставке заработной платы водителям легковых автомобилей за классность - в размере 3 ставок заработной платы;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21"/>
        </w:tabs>
        <w:spacing w:line="317" w:lineRule="exact"/>
        <w:ind w:firstLine="760"/>
        <w:jc w:val="both"/>
      </w:pPr>
      <w:r>
        <w:t>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9044E9" w:rsidRDefault="00EE1C10">
      <w:pPr>
        <w:pStyle w:val="20"/>
        <w:framePr w:w="10234" w:h="11865" w:hRule="exact" w:wrap="none" w:vAnchor="page" w:hAnchor="page" w:x="1117" w:y="1202"/>
        <w:numPr>
          <w:ilvl w:val="0"/>
          <w:numId w:val="10"/>
        </w:numPr>
        <w:shd w:val="clear" w:color="auto" w:fill="auto"/>
        <w:tabs>
          <w:tab w:val="left" w:pos="1116"/>
        </w:tabs>
        <w:spacing w:line="317" w:lineRule="exact"/>
        <w:ind w:firstLine="760"/>
        <w:jc w:val="both"/>
      </w:pPr>
      <w:r>
        <w:t xml:space="preserve">ежемесячной доплаты к ставке заработной платы за работу в ночное время </w:t>
      </w:r>
      <w:r>
        <w:rPr>
          <w:rStyle w:val="23"/>
        </w:rPr>
        <w:t xml:space="preserve">- </w:t>
      </w:r>
      <w:r>
        <w:t>в размере 1,7 ставки заработной платы.</w:t>
      </w:r>
    </w:p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20"/>
        <w:framePr w:w="10070" w:h="2313" w:hRule="exact" w:wrap="none" w:vAnchor="page" w:hAnchor="page" w:x="1198" w:y="829"/>
        <w:shd w:val="clear" w:color="auto" w:fill="auto"/>
        <w:spacing w:line="322" w:lineRule="exact"/>
        <w:ind w:left="3280"/>
        <w:jc w:val="right"/>
      </w:pPr>
      <w:r>
        <w:lastRenderedPageBreak/>
        <w:t>Приложение № 1 к Положению об оплате труда работников, осуществляющих техническое обеспечение деятельности органов местного самоуправления Милютинского сельского поселения, и обслуживающего персонала органов местного самоуправления Милютинского сельского поселения</w:t>
      </w:r>
    </w:p>
    <w:p w:rsidR="009044E9" w:rsidRDefault="00EE1C10">
      <w:pPr>
        <w:pStyle w:val="10"/>
        <w:framePr w:w="10070" w:h="1344" w:hRule="exact" w:wrap="none" w:vAnchor="page" w:hAnchor="page" w:x="1198" w:y="3915"/>
        <w:shd w:val="clear" w:color="auto" w:fill="auto"/>
        <w:spacing w:before="0" w:after="0" w:line="322" w:lineRule="exact"/>
        <w:ind w:left="40" w:firstLine="0"/>
      </w:pPr>
      <w:bookmarkStart w:id="9" w:name="bookmark8"/>
      <w:r>
        <w:t>Размеры должностных окладов работников, занимающих в органах местного</w:t>
      </w:r>
      <w:r>
        <w:br/>
        <w:t xml:space="preserve">самоуправления должности, не </w:t>
      </w:r>
      <w:proofErr w:type="spellStart"/>
      <w:r>
        <w:t>отнесенные</w:t>
      </w:r>
      <w:proofErr w:type="spellEnd"/>
      <w:r>
        <w:t xml:space="preserve"> к должностям муниципальной</w:t>
      </w:r>
      <w:r>
        <w:br/>
        <w:t>службы, и осуществляющих техническое обеспечение деятельности органов</w:t>
      </w:r>
      <w:bookmarkEnd w:id="9"/>
    </w:p>
    <w:p w:rsidR="009044E9" w:rsidRDefault="00EE1C10">
      <w:pPr>
        <w:pStyle w:val="10"/>
        <w:framePr w:w="10070" w:h="1344" w:hRule="exact" w:wrap="none" w:vAnchor="page" w:hAnchor="page" w:x="1198" w:y="3915"/>
        <w:shd w:val="clear" w:color="auto" w:fill="auto"/>
        <w:spacing w:before="0" w:after="0" w:line="322" w:lineRule="exact"/>
        <w:ind w:left="40" w:firstLine="0"/>
      </w:pPr>
      <w:bookmarkStart w:id="10" w:name="bookmark9"/>
      <w:r>
        <w:t>местного самоуправления</w:t>
      </w:r>
      <w:bookmarkEnd w:id="1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5179"/>
        <w:gridCol w:w="3845"/>
      </w:tblGrid>
      <w:tr w:rsidR="009044E9">
        <w:trPr>
          <w:trHeight w:hRule="exact" w:val="9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after="60" w:line="280" w:lineRule="exact"/>
            </w:pPr>
            <w:r>
              <w:rPr>
                <w:rStyle w:val="22"/>
              </w:rPr>
              <w:t>№</w:t>
            </w:r>
          </w:p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before="60" w:line="280" w:lineRule="exact"/>
            </w:pPr>
            <w:r>
              <w:rPr>
                <w:rStyle w:val="22"/>
              </w:rPr>
              <w:t>п\</w:t>
            </w:r>
            <w:proofErr w:type="gramStart"/>
            <w:r>
              <w:rPr>
                <w:rStyle w:val="22"/>
              </w:rPr>
              <w:t>п</w:t>
            </w:r>
            <w:proofErr w:type="gramEnd"/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4E9" w:rsidRDefault="00EE1C10" w:rsidP="00C8606F">
            <w:pPr>
              <w:pStyle w:val="20"/>
              <w:framePr w:w="9773" w:h="2179" w:wrap="none" w:vAnchor="page" w:hAnchor="page" w:x="1251" w:y="5847"/>
              <w:shd w:val="clear" w:color="auto" w:fill="auto"/>
              <w:spacing w:after="300" w:line="280" w:lineRule="exact"/>
            </w:pPr>
            <w:r>
              <w:rPr>
                <w:rStyle w:val="22"/>
              </w:rPr>
              <w:t>Наименование должностей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06F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before="60" w:line="317" w:lineRule="exact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Должностной оклад </w:t>
            </w:r>
          </w:p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before="60" w:line="317" w:lineRule="exact"/>
              <w:jc w:val="both"/>
            </w:pPr>
            <w:r>
              <w:rPr>
                <w:rStyle w:val="22"/>
              </w:rPr>
              <w:t>(рублей в месяц)</w:t>
            </w:r>
          </w:p>
        </w:tc>
      </w:tr>
      <w:tr w:rsidR="009044E9">
        <w:trPr>
          <w:trHeight w:hRule="exact" w:val="6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380" w:lineRule="exact"/>
            </w:pPr>
            <w:r>
              <w:rPr>
                <w:rStyle w:val="2CordiaUPC19pt"/>
              </w:rPr>
              <w:t>1</w:t>
            </w:r>
            <w:r>
              <w:rPr>
                <w:rStyle w:val="2Calibri7pt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280" w:lineRule="exact"/>
            </w:pPr>
            <w:r>
              <w:rPr>
                <w:rStyle w:val="22"/>
              </w:rPr>
              <w:t>Старший инспектор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5862</w:t>
            </w:r>
          </w:p>
        </w:tc>
      </w:tr>
      <w:tr w:rsidR="009044E9">
        <w:trPr>
          <w:trHeight w:hRule="exact" w:val="6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28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280" w:lineRule="exact"/>
            </w:pPr>
            <w:r>
              <w:rPr>
                <w:rStyle w:val="22"/>
              </w:rPr>
              <w:t>Инспектор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773" w:h="2179" w:wrap="none" w:vAnchor="page" w:hAnchor="page" w:x="1251" w:y="5847"/>
              <w:shd w:val="clear" w:color="auto" w:fill="auto"/>
              <w:spacing w:line="280" w:lineRule="exact"/>
              <w:jc w:val="both"/>
            </w:pPr>
            <w:r>
              <w:rPr>
                <w:rStyle w:val="22"/>
              </w:rPr>
              <w:t>5581</w:t>
            </w:r>
          </w:p>
        </w:tc>
      </w:tr>
    </w:tbl>
    <w:p w:rsidR="009044E9" w:rsidRDefault="009044E9">
      <w:pPr>
        <w:rPr>
          <w:sz w:val="2"/>
          <w:szCs w:val="2"/>
        </w:rPr>
        <w:sectPr w:rsidR="009044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44E9" w:rsidRDefault="00EE1C10">
      <w:pPr>
        <w:pStyle w:val="20"/>
        <w:framePr w:w="10325" w:h="2322" w:hRule="exact" w:wrap="none" w:vAnchor="page" w:hAnchor="page" w:x="1018" w:y="939"/>
        <w:shd w:val="clear" w:color="auto" w:fill="auto"/>
        <w:spacing w:line="322" w:lineRule="exact"/>
        <w:ind w:left="3500"/>
        <w:jc w:val="right"/>
      </w:pPr>
      <w:r>
        <w:lastRenderedPageBreak/>
        <w:t>Приложение № 2 к Положению об оплате труда работников, осуществляющих техническое обеспечение деятельности органов местного самоуправления Милютинского сельского поселения, и обслуживающего персонала органов местного самоуправления Милютинского сельского поселения</w:t>
      </w:r>
    </w:p>
    <w:p w:rsidR="009044E9" w:rsidRDefault="00EE1C10">
      <w:pPr>
        <w:pStyle w:val="a7"/>
        <w:framePr w:w="9720" w:h="1017" w:hRule="exact" w:wrap="none" w:vAnchor="page" w:hAnchor="page" w:x="1373" w:y="3721"/>
        <w:shd w:val="clear" w:color="auto" w:fill="auto"/>
      </w:pPr>
      <w:r>
        <w:t>Размеры ставок заработной платы работников, осуществляющих охрану и</w:t>
      </w:r>
      <w:r>
        <w:br/>
        <w:t>(или) обслуживание зданий (помещений), водителей легковых автомобилей,</w:t>
      </w:r>
      <w:r>
        <w:br/>
      </w:r>
      <w:proofErr w:type="spellStart"/>
      <w:r>
        <w:t>включенных</w:t>
      </w:r>
      <w:proofErr w:type="spellEnd"/>
      <w:r>
        <w:t xml:space="preserve"> в штатные расписания органов местного самоуправления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2462"/>
        <w:gridCol w:w="3955"/>
        <w:gridCol w:w="2381"/>
      </w:tblGrid>
      <w:tr w:rsidR="009044E9">
        <w:trPr>
          <w:trHeight w:hRule="exact" w:val="9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after="60" w:line="240" w:lineRule="exact"/>
              <w:ind w:left="280"/>
            </w:pPr>
            <w:r>
              <w:rPr>
                <w:rStyle w:val="2Calibri12pt"/>
              </w:rPr>
              <w:t>№</w:t>
            </w:r>
          </w:p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before="60" w:line="240" w:lineRule="exact"/>
              <w:ind w:left="280"/>
            </w:pPr>
            <w:proofErr w:type="gramStart"/>
            <w:r>
              <w:rPr>
                <w:rStyle w:val="2Calibri12pt"/>
              </w:rPr>
              <w:t>п</w:t>
            </w:r>
            <w:proofErr w:type="gramEnd"/>
            <w:r>
              <w:rPr>
                <w:rStyle w:val="2Calibri12pt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after="120" w:line="240" w:lineRule="exact"/>
            </w:pPr>
            <w:r>
              <w:rPr>
                <w:rStyle w:val="2Calibri12pt"/>
              </w:rPr>
              <w:t>Квалификационные</w:t>
            </w:r>
          </w:p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before="120" w:line="240" w:lineRule="exact"/>
            </w:pPr>
            <w:r>
              <w:rPr>
                <w:rStyle w:val="2Calibri12pt"/>
              </w:rPr>
              <w:t>разряды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</w:pPr>
            <w:r>
              <w:rPr>
                <w:rStyle w:val="2Calibri12pt"/>
              </w:rPr>
              <w:t>Наименование должности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317" w:lineRule="exact"/>
              <w:ind w:left="240" w:firstLine="180"/>
            </w:pPr>
            <w:r>
              <w:rPr>
                <w:rStyle w:val="2Calibri12pt"/>
              </w:rPr>
              <w:t>Размер ставки заработной платы (рублей в месяц)</w:t>
            </w:r>
          </w:p>
        </w:tc>
      </w:tr>
      <w:tr w:rsidR="009044E9">
        <w:trPr>
          <w:trHeight w:hRule="exact" w:val="6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320" w:lineRule="exact"/>
              <w:ind w:left="280"/>
            </w:pPr>
            <w:r>
              <w:rPr>
                <w:rStyle w:val="2Calibri12pt0"/>
                <w:b w:val="0"/>
                <w:bCs w:val="0"/>
              </w:rPr>
              <w:t>1</w:t>
            </w:r>
            <w:r>
              <w:rPr>
                <w:rStyle w:val="2CordiaUPC16pt"/>
                <w:b w:val="0"/>
                <w:bCs w:val="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</w:pPr>
            <w:r>
              <w:rPr>
                <w:rStyle w:val="2Calibri12pt"/>
              </w:rPr>
              <w:t>1 разряд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</w:pPr>
            <w:r>
              <w:rPr>
                <w:rStyle w:val="2Calibri12pt"/>
              </w:rPr>
              <w:t>Уборщик служебных помещений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  <w:jc w:val="center"/>
            </w:pPr>
            <w:r>
              <w:rPr>
                <w:rStyle w:val="2Calibri12pt"/>
              </w:rPr>
              <w:t>4166,00</w:t>
            </w:r>
          </w:p>
        </w:tc>
      </w:tr>
      <w:tr w:rsidR="009044E9"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  <w:ind w:left="280"/>
            </w:pPr>
            <w:r>
              <w:rPr>
                <w:rStyle w:val="2Calibri12pt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</w:pPr>
            <w:r>
              <w:rPr>
                <w:rStyle w:val="2Calibri12pt"/>
              </w:rPr>
              <w:t>4 разряд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</w:pPr>
            <w:r>
              <w:rPr>
                <w:rStyle w:val="2Calibri12pt"/>
              </w:rPr>
              <w:t>Водитель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4E9" w:rsidRDefault="00EE1C10">
            <w:pPr>
              <w:pStyle w:val="20"/>
              <w:framePr w:w="9571" w:h="1958" w:wrap="none" w:vAnchor="page" w:hAnchor="page" w:x="1018" w:y="4805"/>
              <w:shd w:val="clear" w:color="auto" w:fill="auto"/>
              <w:spacing w:line="240" w:lineRule="exact"/>
              <w:jc w:val="center"/>
            </w:pPr>
            <w:r>
              <w:rPr>
                <w:rStyle w:val="2Calibri12pt"/>
              </w:rPr>
              <w:t>4955,00</w:t>
            </w:r>
          </w:p>
        </w:tc>
      </w:tr>
    </w:tbl>
    <w:p w:rsidR="009044E9" w:rsidRDefault="00EE1C10">
      <w:pPr>
        <w:pStyle w:val="20"/>
        <w:framePr w:w="10325" w:h="1760" w:hRule="exact" w:wrap="none" w:vAnchor="page" w:hAnchor="page" w:x="1018" w:y="7768"/>
        <w:shd w:val="clear" w:color="auto" w:fill="auto"/>
        <w:spacing w:after="82" w:line="280" w:lineRule="exact"/>
      </w:pPr>
      <w:r>
        <w:t>Примечания:</w:t>
      </w:r>
    </w:p>
    <w:p w:rsidR="009044E9" w:rsidRDefault="00EE1C10">
      <w:pPr>
        <w:pStyle w:val="20"/>
        <w:framePr w:w="10325" w:h="1760" w:hRule="exact" w:wrap="none" w:vAnchor="page" w:hAnchor="page" w:x="1018" w:y="7768"/>
        <w:shd w:val="clear" w:color="auto" w:fill="auto"/>
        <w:spacing w:line="317" w:lineRule="exact"/>
        <w:ind w:firstLine="840"/>
        <w:jc w:val="both"/>
      </w:pPr>
      <w: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9044E9" w:rsidRDefault="009044E9">
      <w:pPr>
        <w:rPr>
          <w:sz w:val="2"/>
          <w:szCs w:val="2"/>
        </w:rPr>
      </w:pPr>
    </w:p>
    <w:sectPr w:rsidR="009044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E5" w:rsidRDefault="003425E5">
      <w:r>
        <w:separator/>
      </w:r>
    </w:p>
  </w:endnote>
  <w:endnote w:type="continuationSeparator" w:id="0">
    <w:p w:rsidR="003425E5" w:rsidRDefault="003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E5" w:rsidRDefault="003425E5"/>
  </w:footnote>
  <w:footnote w:type="continuationSeparator" w:id="0">
    <w:p w:rsidR="003425E5" w:rsidRDefault="00342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6FF"/>
    <w:multiLevelType w:val="multilevel"/>
    <w:tmpl w:val="92BCE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54685"/>
    <w:multiLevelType w:val="multilevel"/>
    <w:tmpl w:val="3816F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A4C4C"/>
    <w:multiLevelType w:val="multilevel"/>
    <w:tmpl w:val="86641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74C69"/>
    <w:multiLevelType w:val="multilevel"/>
    <w:tmpl w:val="1452E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24B3C"/>
    <w:multiLevelType w:val="multilevel"/>
    <w:tmpl w:val="0E2E52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F7930"/>
    <w:multiLevelType w:val="multilevel"/>
    <w:tmpl w:val="FB14D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B1593"/>
    <w:multiLevelType w:val="multilevel"/>
    <w:tmpl w:val="B1B27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16272"/>
    <w:multiLevelType w:val="multilevel"/>
    <w:tmpl w:val="E2100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37509"/>
    <w:multiLevelType w:val="multilevel"/>
    <w:tmpl w:val="49F0D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A713A"/>
    <w:multiLevelType w:val="multilevel"/>
    <w:tmpl w:val="2408B2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44E9"/>
    <w:rsid w:val="00006128"/>
    <w:rsid w:val="000463E6"/>
    <w:rsid w:val="003425E5"/>
    <w:rsid w:val="00814CBF"/>
    <w:rsid w:val="009044E9"/>
    <w:rsid w:val="009C46A2"/>
    <w:rsid w:val="009C4F08"/>
    <w:rsid w:val="00C07D91"/>
    <w:rsid w:val="00C8606F"/>
    <w:rsid w:val="00E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9pt">
    <w:name w:val="Основной текст (2) + CordiaUPC;19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alibri7pt">
    <w:name w:val="Основной текст (2) + Calibri;7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2pt">
    <w:name w:val="Основной текст (2) + Calibri;1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12pt0">
    <w:name w:val="Основной текст (2) + Calibri;12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180" w:line="0" w:lineRule="atLeas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860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0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Милютинское сп</cp:lastModifiedBy>
  <cp:revision>6</cp:revision>
  <cp:lastPrinted>2023-03-06T15:39:00Z</cp:lastPrinted>
  <dcterms:created xsi:type="dcterms:W3CDTF">2022-06-14T10:08:00Z</dcterms:created>
  <dcterms:modified xsi:type="dcterms:W3CDTF">2023-03-06T15:40:00Z</dcterms:modified>
</cp:coreProperties>
</file>