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4746D1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0E1D7A">
        <w:rPr>
          <w:rFonts w:eastAsiaTheme="minorHAnsi"/>
          <w:b/>
          <w:sz w:val="28"/>
          <w:szCs w:val="28"/>
          <w:lang w:eastAsia="en-US"/>
        </w:rPr>
        <w:t>ПРОТИВОДЕЙСТВИЕ ЛЕГАЛИЗАЦИИ ПРЕСТУПНЫХ ДОХОДОВ И ФИНАНСИРОВАНИЮ ТЕРРОРИЗМА</w:t>
      </w:r>
      <w:bookmarkEnd w:id="0"/>
    </w:p>
    <w:p w:rsidR="000E1D7A" w:rsidRPr="00AF272D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Установлено, что операции по зачислению средств на счет цифрового рубля и их списанию подлежат обязательному контролю, если они совершаются на сумму, равную или превышающую 1 млн рублей либо эквивалентную сумму в иностранной валюте.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Закон дополнен новой главой, в которой установлены особенности организации оператором и участниками платформы цифрового рубля деятельности в сфере ПОД/ФТ и ФРОМУ. Например, при приеме на обслуживание и обслуживании пользователей оператор платформы цифрового рубля обязан оценивать степень риска совершения ими подозрительных операций и относить каждого пользователя платформы (кроме кредитных организаций) к одной из трех групп риска. Также установлены случаи, при которых оператор платформы цифрового рубля расторгает договор счета цифрового рубля с пользователем платформы.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Пользователь платформы цифрового рубля или его представитель обязан предоставлять оператору и участнику платформы цифрового рубля по их запросам информацию и документы, необходимые для реализации ими прав и обязанностей в сфере ПОД/ФТ и ФРОМУ.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Участник платформы цифрового рубля, предоставляющий пользователю платформы доступ к ней, обладает правами и несет обязанности, установленные Законом о ПОД/ФТ и ФРОМУ в отношении кредитных организаций и филиалов иностранных банков при совершении их клиентами операций по банковским счетам. Кроме того, он, помимо прочего, обязан: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- направлять оператору платформы цифрового рубля отдельные сведения;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- не предоставлять доступ к платформе цифрового рубля для заключения договора счета цифрового рубля или незамедлительно прекращать прием к исполнению и исполнение распоряжений пользователя платформы цифрового рубля (плательщика, получателя средств) в отношении некоторых лиц;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- замораживать (блокировать) денежные средства клиента в установленных случаях и информировать Росфинмониторинг о принятых мерах.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Кредитные организации и филиалы иностранных банков, являющиеся участниками платформы цифрового рубля, обязаны представлять в Росфинмониторинг сведения о совершаемых пользователями платформы цифрового рубля операциях с цифровыми рублями.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>Отдельные положения закона распространены на случаи направления на платформу цифрового рубля распоряжения или заявления пользователя платформы цифрового рубля.</w:t>
      </w:r>
    </w:p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1D7A">
        <w:rPr>
          <w:rFonts w:eastAsiaTheme="minorHAnsi"/>
          <w:sz w:val="28"/>
          <w:szCs w:val="28"/>
          <w:lang w:eastAsia="en-US"/>
        </w:rPr>
        <w:t xml:space="preserve">Кроме того, с 1 июля 2025 года начинают применяться положения пунктов 13.4 - 13.6 статьи 7 Закона о ПОД/ФТ и ФРОМУ, связанные с отказом в направлении участником платформы цифрового рубля на данную платформу </w:t>
      </w:r>
      <w:r w:rsidRPr="000E1D7A">
        <w:rPr>
          <w:rFonts w:eastAsiaTheme="minorHAnsi"/>
          <w:sz w:val="28"/>
          <w:szCs w:val="28"/>
          <w:lang w:eastAsia="en-US"/>
        </w:rPr>
        <w:lastRenderedPageBreak/>
        <w:t>распоряжения пользователя платформы в целях совершения операции с цифровыми рублями и (или) заявления о переводе денежных средств пользователя платформы цифрового рубля или его представителя на бумажном носителе, а также с требованиями к заявлениям и прилагаемым к нему документам.</w:t>
      </w:r>
    </w:p>
    <w:p w:rsidR="004746D1" w:rsidRDefault="000E1D7A" w:rsidP="000E1D7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0E1D7A">
        <w:rPr>
          <w:rFonts w:eastAsiaTheme="minorHAnsi"/>
          <w:sz w:val="28"/>
          <w:szCs w:val="28"/>
          <w:lang w:eastAsia="en-US"/>
        </w:rPr>
        <w:t>Скорректированы положения Закона о банках и банковской деятельности, Закона о Банке России и Закона о национальной платежной системе.</w:t>
      </w:r>
    </w:p>
    <w:p w:rsidR="004746D1" w:rsidRPr="00F24D43" w:rsidRDefault="004746D1" w:rsidP="004746D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83C27"/>
    <w:rsid w:val="00A34B5C"/>
    <w:rsid w:val="00A95953"/>
    <w:rsid w:val="00AF272D"/>
    <w:rsid w:val="00B76425"/>
    <w:rsid w:val="00C753BC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52B1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2025-06-26T19:55:00Z</cp:lastPrinted>
  <dcterms:created xsi:type="dcterms:W3CDTF">2025-06-26T19:56:00Z</dcterms:created>
  <dcterms:modified xsi:type="dcterms:W3CDTF">2025-06-26T19:56:00Z</dcterms:modified>
</cp:coreProperties>
</file>